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CA5" w:rsidRPr="00A71056" w:rsidRDefault="00121CA5">
      <w:pPr>
        <w:rPr>
          <w:b/>
          <w:sz w:val="28"/>
          <w:szCs w:val="28"/>
        </w:rPr>
      </w:pPr>
      <w:r w:rsidRPr="00A71056">
        <w:rPr>
          <w:b/>
          <w:sz w:val="28"/>
          <w:szCs w:val="28"/>
        </w:rPr>
        <w:t xml:space="preserve">Exploring </w:t>
      </w:r>
      <w:r w:rsidR="00A71056">
        <w:rPr>
          <w:b/>
          <w:sz w:val="28"/>
          <w:szCs w:val="28"/>
        </w:rPr>
        <w:t>a</w:t>
      </w:r>
      <w:r w:rsidRPr="00A71056">
        <w:rPr>
          <w:b/>
          <w:sz w:val="28"/>
          <w:szCs w:val="28"/>
        </w:rPr>
        <w:t xml:space="preserve"> Performance Expectation</w:t>
      </w:r>
    </w:p>
    <w:tbl>
      <w:tblPr>
        <w:tblStyle w:val="TableGrid"/>
        <w:tblW w:w="10980" w:type="dxa"/>
        <w:tblInd w:w="-792" w:type="dxa"/>
        <w:tblLook w:val="04A0" w:firstRow="1" w:lastRow="0" w:firstColumn="1" w:lastColumn="0" w:noHBand="0" w:noVBand="1"/>
      </w:tblPr>
      <w:tblGrid>
        <w:gridCol w:w="1818"/>
        <w:gridCol w:w="9162"/>
      </w:tblGrid>
      <w:tr w:rsidR="00121CA5" w:rsidTr="007275AA">
        <w:trPr>
          <w:trHeight w:val="2033"/>
        </w:trPr>
        <w:tc>
          <w:tcPr>
            <w:tcW w:w="1818" w:type="dxa"/>
          </w:tcPr>
          <w:p w:rsidR="00121CA5" w:rsidRDefault="00121CA5">
            <w:r>
              <w:t>Performance Expectation</w:t>
            </w:r>
          </w:p>
          <w:p w:rsidR="007275AA" w:rsidRDefault="007275AA"/>
          <w:p w:rsidR="007275AA" w:rsidRPr="007275AA" w:rsidRDefault="007275AA">
            <w:pPr>
              <w:rPr>
                <w:b/>
                <w:i/>
              </w:rPr>
            </w:pPr>
            <w:r w:rsidRPr="007275AA">
              <w:rPr>
                <w:b/>
                <w:i/>
              </w:rPr>
              <w:t>*Use corresponding colored highlighters to indicate the three dimensions found in each of these standards.</w:t>
            </w:r>
          </w:p>
        </w:tc>
        <w:tc>
          <w:tcPr>
            <w:tcW w:w="9162" w:type="dxa"/>
            <w:shd w:val="clear" w:color="auto" w:fill="DBE5F1" w:themeFill="accent1" w:themeFillTint="33"/>
          </w:tcPr>
          <w:p w:rsidR="00E9654A" w:rsidRPr="00E9654A" w:rsidRDefault="00E9654A" w:rsidP="00E9654A">
            <w:pPr>
              <w:rPr>
                <w:rFonts w:ascii="Calibri" w:eastAsia="Calibri" w:hAnsi="Calibri" w:cs="Times New Roman"/>
                <w:color w:val="1F497D"/>
              </w:rPr>
            </w:pPr>
            <w:r w:rsidRPr="00E9654A">
              <w:rPr>
                <w:rFonts w:ascii="Calibri" w:eastAsia="Calibri" w:hAnsi="Calibri" w:cs="Times New Roman"/>
                <w:color w:val="1F497D"/>
              </w:rPr>
              <w:t>Chemistry</w:t>
            </w:r>
          </w:p>
          <w:p w:rsidR="00E9654A" w:rsidRPr="00E9654A" w:rsidRDefault="00E9654A" w:rsidP="00E9654A">
            <w:pPr>
              <w:autoSpaceDE w:val="0"/>
              <w:autoSpaceDN w:val="0"/>
              <w:rPr>
                <w:rFonts w:ascii="Tahoma" w:eastAsia="Calibri" w:hAnsi="Tahoma" w:cs="Tahoma"/>
                <w:color w:val="000000"/>
                <w:sz w:val="14"/>
                <w:szCs w:val="14"/>
              </w:rPr>
            </w:pPr>
            <w:r w:rsidRPr="00E9654A">
              <w:rPr>
                <w:rFonts w:ascii="Tahoma" w:eastAsia="Calibri" w:hAnsi="Tahoma" w:cs="Tahoma"/>
                <w:b/>
                <w:bCs/>
                <w:color w:val="000000"/>
                <w:sz w:val="18"/>
                <w:szCs w:val="18"/>
              </w:rPr>
              <w:t xml:space="preserve">HS-PS1-2. Construct and revise an explanation for the outcome of a simple chemical reaction based on the outermost electron states of atoms, trends in the periodic table, and knowledge of the patterns of chemical properties. </w:t>
            </w:r>
            <w:r w:rsidRPr="00E9654A">
              <w:rPr>
                <w:rFonts w:ascii="Tahoma" w:eastAsia="Calibri" w:hAnsi="Tahoma" w:cs="Tahoma"/>
                <w:color w:val="000000"/>
                <w:sz w:val="14"/>
                <w:szCs w:val="14"/>
              </w:rPr>
              <w:t xml:space="preserve">[Clarification Statement: Examples of chemical reactions could include the reaction of sodium and chlorine, of carbon and oxygen, or of carbon and hydrogen.] [Assessment Boundary: Assessment is limited to chemical reactions involving main group elements and combustion reactions.] </w:t>
            </w:r>
          </w:p>
          <w:p w:rsidR="00E9654A" w:rsidRPr="00E9654A" w:rsidRDefault="00E9654A" w:rsidP="00E9654A">
            <w:pPr>
              <w:rPr>
                <w:rFonts w:ascii="Calibri" w:eastAsia="Calibri" w:hAnsi="Calibri" w:cs="Times New Roman"/>
                <w:color w:val="1F497D"/>
              </w:rPr>
            </w:pPr>
          </w:p>
          <w:p w:rsidR="00E9654A" w:rsidRPr="00E9654A" w:rsidRDefault="00E9654A" w:rsidP="00E9654A">
            <w:pPr>
              <w:rPr>
                <w:rFonts w:ascii="Calibri" w:eastAsia="Calibri" w:hAnsi="Calibri" w:cs="Times New Roman"/>
                <w:color w:val="1F497D"/>
              </w:rPr>
            </w:pPr>
            <w:r w:rsidRPr="00E9654A">
              <w:rPr>
                <w:rFonts w:ascii="Calibri" w:eastAsia="Calibri" w:hAnsi="Calibri" w:cs="Times New Roman"/>
                <w:color w:val="1F497D"/>
              </w:rPr>
              <w:t>Physics</w:t>
            </w:r>
          </w:p>
          <w:p w:rsidR="00E9654A" w:rsidRPr="00E9654A" w:rsidRDefault="00E9654A" w:rsidP="00E9654A">
            <w:pPr>
              <w:autoSpaceDE w:val="0"/>
              <w:autoSpaceDN w:val="0"/>
              <w:rPr>
                <w:rFonts w:ascii="Tahoma" w:eastAsia="Calibri" w:hAnsi="Tahoma" w:cs="Tahoma"/>
                <w:color w:val="000000"/>
                <w:sz w:val="13"/>
                <w:szCs w:val="13"/>
              </w:rPr>
            </w:pPr>
            <w:r w:rsidRPr="00E9654A">
              <w:rPr>
                <w:rFonts w:ascii="Tahoma" w:eastAsia="Calibri" w:hAnsi="Tahoma" w:cs="Tahoma"/>
                <w:b/>
                <w:bCs/>
                <w:color w:val="000000"/>
                <w:sz w:val="18"/>
                <w:szCs w:val="18"/>
              </w:rPr>
              <w:t xml:space="preserve">HS-PS2-1. Analyze data to support the claim that Newton’s second law of motion describes the mathematical relationship among the net force on a macroscopic object, its mass, and its acceleration. </w:t>
            </w:r>
            <w:r w:rsidRPr="00E9654A">
              <w:rPr>
                <w:rFonts w:ascii="Tahoma" w:eastAsia="Calibri" w:hAnsi="Tahoma" w:cs="Tahoma"/>
                <w:color w:val="000000"/>
                <w:sz w:val="13"/>
                <w:szCs w:val="13"/>
              </w:rPr>
              <w:t xml:space="preserve">[Clarification Statement: Examples of data could include tables or graphs of position or velocity as a function of time for objects subject to a net unbalanced force, such as a falling object, an object rolling down a ramp, or a moving object being pulled by a constant force.] [Assessment Boundary: Assessment is limited to one-dimensional motion and to macroscopic objects moving at non-relativistic speeds.] </w:t>
            </w:r>
          </w:p>
          <w:p w:rsidR="00E9654A" w:rsidRPr="00E9654A" w:rsidRDefault="00E9654A" w:rsidP="00E9654A">
            <w:pPr>
              <w:rPr>
                <w:rFonts w:ascii="Calibri" w:eastAsia="Calibri" w:hAnsi="Calibri" w:cs="Times New Roman"/>
                <w:color w:val="1F497D"/>
              </w:rPr>
            </w:pPr>
          </w:p>
          <w:p w:rsidR="00E9654A" w:rsidRPr="00E9654A" w:rsidRDefault="00E9654A" w:rsidP="00E9654A">
            <w:pPr>
              <w:rPr>
                <w:rFonts w:ascii="Calibri" w:eastAsia="Calibri" w:hAnsi="Calibri" w:cs="Times New Roman"/>
                <w:color w:val="1F497D"/>
              </w:rPr>
            </w:pPr>
            <w:r w:rsidRPr="00E9654A">
              <w:rPr>
                <w:rFonts w:ascii="Calibri" w:eastAsia="Calibri" w:hAnsi="Calibri" w:cs="Times New Roman"/>
                <w:color w:val="1F497D"/>
              </w:rPr>
              <w:t>Biology</w:t>
            </w:r>
          </w:p>
          <w:p w:rsidR="00E9654A" w:rsidRPr="00E9654A" w:rsidRDefault="00E9654A" w:rsidP="00E9654A">
            <w:pPr>
              <w:autoSpaceDE w:val="0"/>
              <w:autoSpaceDN w:val="0"/>
              <w:rPr>
                <w:rFonts w:ascii="Tahoma" w:eastAsia="Calibri" w:hAnsi="Tahoma" w:cs="Tahoma"/>
                <w:color w:val="000000"/>
                <w:sz w:val="13"/>
                <w:szCs w:val="13"/>
              </w:rPr>
            </w:pPr>
            <w:r w:rsidRPr="00E9654A">
              <w:rPr>
                <w:rFonts w:ascii="Tahoma" w:eastAsia="Calibri" w:hAnsi="Tahoma" w:cs="Tahoma"/>
                <w:b/>
                <w:bCs/>
                <w:color w:val="000000"/>
                <w:sz w:val="18"/>
                <w:szCs w:val="18"/>
              </w:rPr>
              <w:t xml:space="preserve">HS-LS1-1. Construct an explanation based on evidence for how the structure of DNA determines the structure of proteins which carry out the essential functions of life through systems of specialized cells. </w:t>
            </w:r>
            <w:r w:rsidRPr="00E9654A">
              <w:rPr>
                <w:rFonts w:ascii="Tahoma" w:eastAsia="Calibri" w:hAnsi="Tahoma" w:cs="Tahoma"/>
                <w:color w:val="000000"/>
                <w:sz w:val="13"/>
                <w:szCs w:val="13"/>
              </w:rPr>
              <w:t xml:space="preserve">[Assessment Boundary: Assessment does not include identification of specific cell or tissue types, whole body systems, specific protein structures and functions, or the biochemistry of protein synthesis.] </w:t>
            </w:r>
          </w:p>
          <w:p w:rsidR="00E9654A" w:rsidRPr="00E9654A" w:rsidRDefault="00E9654A" w:rsidP="00E9654A">
            <w:pPr>
              <w:rPr>
                <w:rFonts w:ascii="Calibri" w:eastAsia="Calibri" w:hAnsi="Calibri" w:cs="Times New Roman"/>
                <w:color w:val="1F497D"/>
              </w:rPr>
            </w:pPr>
          </w:p>
          <w:p w:rsidR="00E9654A" w:rsidRPr="00E9654A" w:rsidRDefault="00E9654A" w:rsidP="00E9654A">
            <w:pPr>
              <w:rPr>
                <w:rFonts w:ascii="Calibri" w:eastAsia="Calibri" w:hAnsi="Calibri" w:cs="Times New Roman"/>
                <w:color w:val="1F497D"/>
              </w:rPr>
            </w:pPr>
            <w:r w:rsidRPr="00E9654A">
              <w:rPr>
                <w:rFonts w:ascii="Calibri" w:eastAsia="Calibri" w:hAnsi="Calibri" w:cs="Times New Roman"/>
                <w:color w:val="1F497D"/>
              </w:rPr>
              <w:t>Earth/Space Science</w:t>
            </w:r>
          </w:p>
          <w:p w:rsidR="00121CA5" w:rsidRDefault="00E9654A" w:rsidP="00556E96">
            <w:pPr>
              <w:autoSpaceDE w:val="0"/>
              <w:autoSpaceDN w:val="0"/>
              <w:rPr>
                <w:rFonts w:ascii="Tahoma" w:eastAsia="Calibri" w:hAnsi="Tahoma" w:cs="Tahoma"/>
                <w:color w:val="000000"/>
                <w:sz w:val="13"/>
                <w:szCs w:val="13"/>
              </w:rPr>
            </w:pPr>
            <w:r w:rsidRPr="00E9654A">
              <w:rPr>
                <w:rFonts w:ascii="Tahoma" w:eastAsia="Calibri" w:hAnsi="Tahoma" w:cs="Tahoma"/>
                <w:b/>
                <w:bCs/>
                <w:color w:val="000000"/>
                <w:sz w:val="18"/>
                <w:szCs w:val="18"/>
              </w:rPr>
              <w:t xml:space="preserve">HS-ESS1-5. Evaluate evidence of the past and current movements of continental and oceanic crust and the theory of plate tectonics to explain the ages of crustal rocks. </w:t>
            </w:r>
            <w:r w:rsidRPr="00E9654A">
              <w:rPr>
                <w:rFonts w:ascii="Tahoma" w:eastAsia="Calibri" w:hAnsi="Tahoma" w:cs="Tahoma"/>
                <w:color w:val="000000"/>
                <w:sz w:val="13"/>
                <w:szCs w:val="13"/>
              </w:rPr>
              <w:t xml:space="preserve">[Clarification Statement: Emphasis is on the ability of plate tectonics to explain the ages of crustal rocks. Examples include evidence of the ages oceanic crust increasing with distance from mid-ocean ridges (a result of plate spreading) and the ages of North American continental crust increasing with distance away from a central ancient core (a result of past plate interactions).] </w:t>
            </w:r>
          </w:p>
          <w:p w:rsidR="00556E96" w:rsidRPr="00556E96" w:rsidRDefault="00556E96" w:rsidP="00556E96">
            <w:pPr>
              <w:autoSpaceDE w:val="0"/>
              <w:autoSpaceDN w:val="0"/>
              <w:rPr>
                <w:rFonts w:ascii="Tahoma" w:eastAsia="Calibri" w:hAnsi="Tahoma" w:cs="Tahoma"/>
                <w:color w:val="000000"/>
                <w:sz w:val="13"/>
                <w:szCs w:val="13"/>
              </w:rPr>
            </w:pPr>
          </w:p>
        </w:tc>
      </w:tr>
      <w:tr w:rsidR="00121CA5" w:rsidTr="007275AA">
        <w:tc>
          <w:tcPr>
            <w:tcW w:w="1818" w:type="dxa"/>
          </w:tcPr>
          <w:p w:rsidR="00121CA5" w:rsidRDefault="00121CA5">
            <w:r>
              <w:t>DCI(s) for this PE</w:t>
            </w:r>
          </w:p>
          <w:p w:rsidR="00121CA5" w:rsidRDefault="00121CA5"/>
          <w:p w:rsidR="00121CA5" w:rsidRDefault="00121CA5"/>
        </w:tc>
        <w:tc>
          <w:tcPr>
            <w:tcW w:w="9162" w:type="dxa"/>
          </w:tcPr>
          <w:p w:rsidR="00121CA5" w:rsidRDefault="00121CA5"/>
        </w:tc>
      </w:tr>
      <w:tr w:rsidR="00121CA5" w:rsidTr="007275AA">
        <w:tc>
          <w:tcPr>
            <w:tcW w:w="1818" w:type="dxa"/>
          </w:tcPr>
          <w:p w:rsidR="00121CA5" w:rsidRDefault="00121CA5">
            <w:r>
              <w:t xml:space="preserve">S&amp;E </w:t>
            </w:r>
          </w:p>
          <w:p w:rsidR="00121CA5" w:rsidRDefault="00121CA5">
            <w:r>
              <w:t>Practice(s) for this PE</w:t>
            </w:r>
          </w:p>
        </w:tc>
        <w:tc>
          <w:tcPr>
            <w:tcW w:w="9162" w:type="dxa"/>
          </w:tcPr>
          <w:p w:rsidR="00121CA5" w:rsidRDefault="00121CA5"/>
        </w:tc>
      </w:tr>
      <w:tr w:rsidR="00121CA5" w:rsidTr="007275AA">
        <w:tc>
          <w:tcPr>
            <w:tcW w:w="1818" w:type="dxa"/>
          </w:tcPr>
          <w:p w:rsidR="00121CA5" w:rsidRDefault="00121CA5">
            <w:r>
              <w:t>Crosscutting Concept(s) for this PE</w:t>
            </w:r>
          </w:p>
        </w:tc>
        <w:tc>
          <w:tcPr>
            <w:tcW w:w="9162" w:type="dxa"/>
          </w:tcPr>
          <w:p w:rsidR="00121CA5" w:rsidRDefault="00121CA5"/>
        </w:tc>
      </w:tr>
      <w:tr w:rsidR="00121CA5" w:rsidTr="007275AA">
        <w:tc>
          <w:tcPr>
            <w:tcW w:w="1818" w:type="dxa"/>
          </w:tcPr>
          <w:p w:rsidR="00121CA5" w:rsidRDefault="00121CA5">
            <w:r>
              <w:t>Connection to other DCI(s) in this Grade Band?</w:t>
            </w:r>
          </w:p>
        </w:tc>
        <w:tc>
          <w:tcPr>
            <w:tcW w:w="9162" w:type="dxa"/>
          </w:tcPr>
          <w:p w:rsidR="00121CA5" w:rsidRDefault="00121CA5"/>
          <w:p w:rsidR="00556E96" w:rsidRDefault="00556E96"/>
          <w:p w:rsidR="00556E96" w:rsidRDefault="00556E96"/>
          <w:p w:rsidR="00556E96" w:rsidRDefault="00556E96"/>
        </w:tc>
      </w:tr>
      <w:tr w:rsidR="00121CA5" w:rsidTr="007275AA">
        <w:trPr>
          <w:trHeight w:val="1097"/>
        </w:trPr>
        <w:tc>
          <w:tcPr>
            <w:tcW w:w="1818" w:type="dxa"/>
          </w:tcPr>
          <w:p w:rsidR="00121CA5" w:rsidRDefault="00121CA5" w:rsidP="00121CA5">
            <w:r>
              <w:t>Articulation of DCI(s) across Grade Band(s)?</w:t>
            </w:r>
          </w:p>
        </w:tc>
        <w:tc>
          <w:tcPr>
            <w:tcW w:w="9162" w:type="dxa"/>
          </w:tcPr>
          <w:p w:rsidR="00121CA5" w:rsidRDefault="00121CA5"/>
          <w:p w:rsidR="00556E96" w:rsidRDefault="00556E96"/>
          <w:p w:rsidR="00556E96" w:rsidRDefault="00556E96"/>
        </w:tc>
      </w:tr>
      <w:tr w:rsidR="00121CA5" w:rsidTr="007275AA">
        <w:tc>
          <w:tcPr>
            <w:tcW w:w="1818" w:type="dxa"/>
          </w:tcPr>
          <w:p w:rsidR="00121CA5" w:rsidRDefault="00121CA5">
            <w:r>
              <w:t>CCSS Literacy Connections?</w:t>
            </w:r>
          </w:p>
          <w:p w:rsidR="00121CA5" w:rsidRDefault="00121CA5"/>
        </w:tc>
        <w:tc>
          <w:tcPr>
            <w:tcW w:w="9162" w:type="dxa"/>
          </w:tcPr>
          <w:p w:rsidR="00121CA5" w:rsidRDefault="00121CA5"/>
        </w:tc>
      </w:tr>
      <w:tr w:rsidR="00121CA5" w:rsidTr="007275AA">
        <w:tc>
          <w:tcPr>
            <w:tcW w:w="1818" w:type="dxa"/>
          </w:tcPr>
          <w:p w:rsidR="00121CA5" w:rsidRDefault="00121CA5">
            <w:r>
              <w:t>CCSS Math Connections?</w:t>
            </w:r>
          </w:p>
          <w:p w:rsidR="00121CA5" w:rsidRDefault="00121CA5"/>
        </w:tc>
        <w:tc>
          <w:tcPr>
            <w:tcW w:w="9162" w:type="dxa"/>
          </w:tcPr>
          <w:p w:rsidR="00121CA5" w:rsidRDefault="00121CA5"/>
        </w:tc>
      </w:tr>
      <w:tr w:rsidR="00AF15A3" w:rsidTr="007275AA">
        <w:tc>
          <w:tcPr>
            <w:tcW w:w="10980" w:type="dxa"/>
            <w:gridSpan w:val="2"/>
          </w:tcPr>
          <w:p w:rsidR="00AF15A3" w:rsidRDefault="00AF15A3" w:rsidP="00A71056">
            <w:pPr>
              <w:rPr>
                <w:b/>
                <w:sz w:val="28"/>
                <w:szCs w:val="28"/>
              </w:rPr>
            </w:pPr>
          </w:p>
          <w:p w:rsidR="007275AA" w:rsidRDefault="007275AA" w:rsidP="00A71056">
            <w:pPr>
              <w:rPr>
                <w:b/>
                <w:sz w:val="28"/>
                <w:szCs w:val="28"/>
              </w:rPr>
            </w:pPr>
          </w:p>
        </w:tc>
      </w:tr>
      <w:tr w:rsidR="00121CA5" w:rsidTr="007275AA">
        <w:tc>
          <w:tcPr>
            <w:tcW w:w="10980" w:type="dxa"/>
            <w:gridSpan w:val="2"/>
          </w:tcPr>
          <w:p w:rsidR="00F026F9" w:rsidRDefault="00F026F9" w:rsidP="00A71056">
            <w:pPr>
              <w:rPr>
                <w:b/>
                <w:sz w:val="28"/>
                <w:szCs w:val="28"/>
              </w:rPr>
            </w:pPr>
          </w:p>
          <w:p w:rsidR="007275AA" w:rsidRDefault="00A71056" w:rsidP="00AF15A3">
            <w:pPr>
              <w:rPr>
                <w:b/>
                <w:sz w:val="28"/>
                <w:szCs w:val="28"/>
              </w:rPr>
            </w:pPr>
            <w:r w:rsidRPr="00F026F9">
              <w:rPr>
                <w:b/>
                <w:sz w:val="28"/>
                <w:szCs w:val="28"/>
              </w:rPr>
              <w:t>Identify a Performance Expectation that has a con</w:t>
            </w:r>
            <w:r w:rsidR="007275AA">
              <w:rPr>
                <w:b/>
                <w:sz w:val="28"/>
                <w:szCs w:val="28"/>
              </w:rPr>
              <w:t>nection to each of the following:</w:t>
            </w:r>
          </w:p>
          <w:p w:rsidR="00121CA5" w:rsidRPr="00A71056" w:rsidRDefault="007275AA" w:rsidP="00AF15A3">
            <w:pPr>
              <w:rPr>
                <w:sz w:val="28"/>
                <w:szCs w:val="28"/>
              </w:rPr>
            </w:pPr>
            <w:r w:rsidRPr="007275AA">
              <w:rPr>
                <w:sz w:val="20"/>
                <w:szCs w:val="20"/>
              </w:rPr>
              <w:t>(These might not be the same PE as previously used.)</w:t>
            </w:r>
          </w:p>
        </w:tc>
      </w:tr>
      <w:tr w:rsidR="00121CA5" w:rsidTr="007275AA">
        <w:tc>
          <w:tcPr>
            <w:tcW w:w="1818" w:type="dxa"/>
          </w:tcPr>
          <w:p w:rsidR="00121CA5" w:rsidRDefault="00A71056">
            <w:r>
              <w:t>Connection to Nature of Science as an “S&amp;E Practice”</w:t>
            </w:r>
          </w:p>
          <w:p w:rsidR="00F026F9" w:rsidRDefault="00F026F9"/>
        </w:tc>
        <w:tc>
          <w:tcPr>
            <w:tcW w:w="9162" w:type="dxa"/>
          </w:tcPr>
          <w:p w:rsidR="00121CA5" w:rsidRDefault="00121CA5"/>
        </w:tc>
      </w:tr>
      <w:tr w:rsidR="00121CA5" w:rsidTr="007275AA">
        <w:tc>
          <w:tcPr>
            <w:tcW w:w="1818" w:type="dxa"/>
          </w:tcPr>
          <w:p w:rsidR="00121CA5" w:rsidRDefault="00A71056" w:rsidP="00A71056">
            <w:r>
              <w:t>Connection to Nature of Science as a “Crosscutting Concept”</w:t>
            </w:r>
          </w:p>
        </w:tc>
        <w:tc>
          <w:tcPr>
            <w:tcW w:w="9162" w:type="dxa"/>
          </w:tcPr>
          <w:p w:rsidR="00121CA5" w:rsidRDefault="00121CA5"/>
        </w:tc>
      </w:tr>
      <w:tr w:rsidR="00A71056" w:rsidTr="007275AA">
        <w:tc>
          <w:tcPr>
            <w:tcW w:w="1818" w:type="dxa"/>
          </w:tcPr>
          <w:p w:rsidR="00A71056" w:rsidRDefault="00A71056" w:rsidP="00C66E73">
            <w:r>
              <w:t>Connection to Engineering, Technology, and Application of Science?</w:t>
            </w:r>
          </w:p>
        </w:tc>
        <w:tc>
          <w:tcPr>
            <w:tcW w:w="9162" w:type="dxa"/>
          </w:tcPr>
          <w:p w:rsidR="00A71056" w:rsidRDefault="00A71056"/>
        </w:tc>
      </w:tr>
      <w:tr w:rsidR="00A71056" w:rsidTr="007275AA">
        <w:tc>
          <w:tcPr>
            <w:tcW w:w="1818" w:type="dxa"/>
          </w:tcPr>
          <w:p w:rsidR="00A71056" w:rsidRDefault="00A71056" w:rsidP="00C66E73">
            <w:r>
              <w:t>Connecti</w:t>
            </w:r>
            <w:r w:rsidR="007275AA">
              <w:t>on to Influence of Science, Engineering</w:t>
            </w:r>
            <w:r>
              <w:t>, &amp; Technology on the Natural World?</w:t>
            </w:r>
          </w:p>
        </w:tc>
        <w:tc>
          <w:tcPr>
            <w:tcW w:w="9162" w:type="dxa"/>
          </w:tcPr>
          <w:p w:rsidR="00A71056" w:rsidRDefault="00A71056"/>
        </w:tc>
      </w:tr>
    </w:tbl>
    <w:p w:rsidR="000E114C" w:rsidRDefault="000E114C"/>
    <w:p w:rsidR="00E45A74" w:rsidRDefault="00E20C8C" w:rsidP="00E20C8C">
      <w:pPr>
        <w:ind w:left="-810" w:hanging="90"/>
      </w:pPr>
      <w:bookmarkStart w:id="0" w:name="_GoBack"/>
      <w:r>
        <w:rPr>
          <w:noProof/>
        </w:rPr>
        <w:drawing>
          <wp:inline distT="0" distB="0" distL="0" distR="0" wp14:anchorId="0AE8E2BD">
            <wp:extent cx="6961239" cy="343637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017" cy="34382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E45A74" w:rsidSect="00AF15A3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CA5"/>
    <w:rsid w:val="000E114C"/>
    <w:rsid w:val="00121CA5"/>
    <w:rsid w:val="004D2888"/>
    <w:rsid w:val="00556E96"/>
    <w:rsid w:val="007275AA"/>
    <w:rsid w:val="009E1946"/>
    <w:rsid w:val="00A71056"/>
    <w:rsid w:val="00AF15A3"/>
    <w:rsid w:val="00BC1FCB"/>
    <w:rsid w:val="00E20C8C"/>
    <w:rsid w:val="00E45A74"/>
    <w:rsid w:val="00E9654A"/>
    <w:rsid w:val="00ED1D3E"/>
    <w:rsid w:val="00F0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1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pup3">
    <w:name w:val="popup3"/>
    <w:basedOn w:val="DefaultParagraphFont"/>
    <w:rsid w:val="00F026F9"/>
  </w:style>
  <w:style w:type="character" w:customStyle="1" w:styleId="red2">
    <w:name w:val="red2"/>
    <w:basedOn w:val="DefaultParagraphFont"/>
    <w:rsid w:val="00F026F9"/>
    <w:rPr>
      <w:b w:val="0"/>
      <w:bCs w:val="0"/>
      <w:color w:val="DD0000"/>
    </w:rPr>
  </w:style>
  <w:style w:type="character" w:styleId="Emphasis">
    <w:name w:val="Emphasis"/>
    <w:basedOn w:val="DefaultParagraphFont"/>
    <w:uiPriority w:val="20"/>
    <w:qFormat/>
    <w:rsid w:val="00F026F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A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1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pup3">
    <w:name w:val="popup3"/>
    <w:basedOn w:val="DefaultParagraphFont"/>
    <w:rsid w:val="00F026F9"/>
  </w:style>
  <w:style w:type="character" w:customStyle="1" w:styleId="red2">
    <w:name w:val="red2"/>
    <w:basedOn w:val="DefaultParagraphFont"/>
    <w:rsid w:val="00F026F9"/>
    <w:rPr>
      <w:b w:val="0"/>
      <w:bCs w:val="0"/>
      <w:color w:val="DD0000"/>
    </w:rPr>
  </w:style>
  <w:style w:type="character" w:styleId="Emphasis">
    <w:name w:val="Emphasis"/>
    <w:basedOn w:val="DefaultParagraphFont"/>
    <w:uiPriority w:val="20"/>
    <w:qFormat/>
    <w:rsid w:val="00F026F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A1AB5A6CFC2B0141906FE3BDDFF5D0AC" ma:contentTypeVersion="15" ma:contentTypeDescription="" ma:contentTypeScope="" ma:versionID="7a544ed43ce4c4d71cfa4843ba56429d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564883a2f67548393703a301c32941d1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5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6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udience1" ma:index="3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4" ma:displayName="Publication Date" ma:default="[today]" ma:format="DateOnly" ma:internalName="Publication_x0020_Date" ma:readOnly="false">
      <xsd:simpleType>
        <xsd:restriction base="dms:DateTime"/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2013-10-01T04:00:00+00:00</Publication_x0020_Date>
    <Audience1 xmlns="3a62de7d-ba57-4f43-9dae-9623ba637be0">
      <Value>1</Value>
      <Value>10</Value>
    </Audience1>
    <_dlc_DocId xmlns="3a62de7d-ba57-4f43-9dae-9623ba637be0">KYED-269-98</_dlc_DocId>
    <_dlc_DocIdUrl xmlns="3a62de7d-ba57-4f43-9dae-9623ba637be0">
      <Url>https://education-edit.ky.gov/curriculum/sci/_layouts/DocIdRedir.aspx?ID=KYED-269-98</Url>
      <Description>KYED-269-98</Description>
    </_dlc_DocIdUrl>
  </documentManagement>
</p:properties>
</file>

<file path=customXml/itemProps1.xml><?xml version="1.0" encoding="utf-8"?>
<ds:datastoreItem xmlns:ds="http://schemas.openxmlformats.org/officeDocument/2006/customXml" ds:itemID="{D9A4B291-3C44-4C9F-A5D9-033E0798B09B}"/>
</file>

<file path=customXml/itemProps2.xml><?xml version="1.0" encoding="utf-8"?>
<ds:datastoreItem xmlns:ds="http://schemas.openxmlformats.org/officeDocument/2006/customXml" ds:itemID="{A7054B8B-AD10-4715-9BEB-1312F24EB73F}"/>
</file>

<file path=customXml/itemProps3.xml><?xml version="1.0" encoding="utf-8"?>
<ds:datastoreItem xmlns:ds="http://schemas.openxmlformats.org/officeDocument/2006/customXml" ds:itemID="{FF0FCAE1-07D4-4DFC-89A4-FBD9839AFD48}"/>
</file>

<file path=customXml/itemProps4.xml><?xml version="1.0" encoding="utf-8"?>
<ds:datastoreItem xmlns:ds="http://schemas.openxmlformats.org/officeDocument/2006/customXml" ds:itemID="{C89EF2A5-8733-49A3-9B95-B4D25A2AE9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Curless, Melinda - Division of Program Standards</dc:creator>
  <cp:lastModifiedBy>Duke, Christine - Division of Program Standards</cp:lastModifiedBy>
  <cp:revision>2</cp:revision>
  <cp:lastPrinted>2013-09-20T14:21:00Z</cp:lastPrinted>
  <dcterms:created xsi:type="dcterms:W3CDTF">2013-09-20T14:25:00Z</dcterms:created>
  <dcterms:modified xsi:type="dcterms:W3CDTF">2013-09-20T14:25:00Z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0x0101001BEB557DBE01834EAB47A683706DCD5B00A1AB5A6CFC2B0141906FE3BDDFF5D0AC</vt:lpwstr>
  </property>
  <property fmtid="{D5CDD505-2E9C-101B-9397-08002B2CF9AE}" pid="3" name="_dlc_DocIdItemGuid">
    <vt:lpwstr>fefccae9-cb51-477e-9d26-1e724f696353</vt:lpwstr>
  </property>
</Properties>
</file>